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ПРОТОКОЛ повторного общего собрания уча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стников долевой собственности (пайщиков) земельных долей бывшего СПК «Камские Зори», расположенных на территории Шереметьевского сельского поселения Нижнекамского муниципального района Республики Татарстан по вопросу утверждения списка невостребованных зем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ельных долей сельскохозяйственного назначения.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>
        <w:rPr>
          <w:rFonts w:ascii="Times New Roman" w:hAnsi="Times New Roman" w:eastAsia="Times New Roman" w:cs="Times New Roman"/>
          <w:sz w:val="28"/>
          <w:szCs w:val="28"/>
        </w:rPr>
        <w:t xml:space="preserve">12 января 2026 года                                                                      с. Шереметьевка</w:t>
      </w:r>
      <w:r>
        <w:t xml:space="preserve">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Место проведения: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Российская Федерация, Республика Татарстан, Нижнекамский район, с. Шереметьевка, ул. Октябрьская площадь, 15 (здание администрации Шереметьевского сельского поселения).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Дата и время пров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едения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12.01.2026г. в 10.00.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Инициатор собрания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Муниципальное образование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Шереметьевское сельское поселение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Нижнекамского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Основание проведения: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Главы Шереметьевского сельского поселения Нижнекамского района Республики Татарстан от 13.08.2025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№ 4 «О начале процедуры признания невостребованных долей (паев) на территории Шереметьевского сельского поселения Нижнекамского муниципального района Республики Татарстан»,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 Главы Шереметьевского сельского поселения Нижнекамского района Республики Татарстан от 18.11.2025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№ 14  «О внесении изменений в постановление Главы Шереметьевского 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 района Республики Татарстан от 13.08.2025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№ 4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 «О начале процедуры признания невостребованных долей (паев) на территории Шереметьевского сельского поселения Нижнекамского муниципального района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t xml:space="preserve"> </w:t>
      </w:r>
      <w:r>
        <w:rPr>
          <w:highlight w:val="none"/>
        </w:rPr>
      </w:r>
      <w:r/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Председатель собрания:</w:t>
      </w:r>
      <w:r>
        <w:rPr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глава  Шереметьевского сельского поселения 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 Фролов Кирилл Борисович.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Секретарь собрания:</w:t>
      </w:r>
      <w:r>
        <w:rPr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секретарь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Шереметьевского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Насибуллина Розалия Ильгизаровна.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Повестка дня: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Решение процедурных вопро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 ведения собрания.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Уточнение списка земельных долей, которые могут быть признаны новостребованными.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Утверждение списка земельных долей (паев), которые могут быть признаны невостребованными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Нижнекамского муниципального района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первому вопросу повестки дня: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Фролов К.Б.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Общее количество собственников земельных долей, согласно постановления от 18.11.2025г. № 14: 68 пайщиков. Присутствовало на собрании – 0 пайщиков.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соответствии с п.5 ст. 14.1 Федерального закона «Об обороте земель сельскохозяйственного назначения» от 24.07.2002 № 101-ФЗ (с изменениями и дополнениями): «Общее собрание считается правомочным в случае присутствия на нем участн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иков долевой собственности, составляющих не менее чем 50 процентов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й». Кворум отсутствует.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второму вопросу повестки дня: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Фролов К.Б.</w:t>
      </w:r>
      <w:r/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t xml:space="preserve">: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целях вовлечения невостребованных земельных долей (паев) в сельскохозяйственный оборот,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Главы Шереметьевского сельского поселения Нижнекамского района Республики Татарстан от 13.08.2025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№ 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начата процедура признания невостребованных долей (паев) на территории Шереметьевского сельского поселения Нижнекамского муниципального района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Постановлением Главы Шереметьевского сельского поселения Нижнекамского района Республики Татарстан от 18.11.2025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№ 14</w:t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 внесены изменения в постановление №4 от 13.08.2025г.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Приложению № 1 вышеуказанных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постановлений указан список земельных долей, которые могут быть признаны невостребованными. Данные списки были опубликован в газете «Туган як» от 15.08.2025г. № 32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газете «Туган як» от 12.12.2025г.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49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 официальном сайте Шереметьевского сельского поселения Нижнекамского 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Республики Татарстан, а также на информационных щитах в здании администрации.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Список предоставляется на утверждение общему собранию участников долевой собственности (пункт 5 статьи 12.1 Закона № 101-ФЗ). Согласно п. 3 Постановления Главы Шереметьевского сельского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поселения от 18.11.2025г. № 4, проведение повторного общего собрания участников долевой собственности (пайщиков) на территории Шереметьевского сельского поселения назначено на 12 января 2026 года.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соответствии с пунктом 1 статьи 12.1 Федерального закона от 24.07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.2002 № 101-ФЗ «Об обороте земель сельскохозяйственного назначения» (далее - Закон № 101-ФЗ) невостребованной земельной долей может быть признана земельная доля, принадлежащая на праве собственности гражданину, который не передал эту земельную долю в аренд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или не распорядился ею иным образом в течение трех и более лет подряд. При этом земельные доли, права на которые зарегистрированы в соответствии с Федеральным законом от 13.07.2015 № 218-ФЗ «О государственной регистрации недвижимости» (далее - Закон № 21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8-ФЗ), не могут быть признаны невостребованными земельными долями по основанию, указанному в пункте 1 статьи 12.1 Закона № 101-ФЗ.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Невостребованной земельной долей может быть признана также земельная доля, сведения о собственнике которой не содержатся в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инятых до дня вступления в силу Закона № 218-ФЗ (то есть до 01.01.2017) решениях органов местного самоуправления о приватизации сельскохозяйственных угодий (пункт 2 статьи 12.1 Закона № 101-ФЗ). Лица, считающие, что принадлежащие им земельные доли необосно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включены в список невостребованных земельных долей, вправе представить в письменной форме возражения в администрацию Шереметьевского сельского поселения и заявить об этом на общем собрании участников долевой собственности, что является основанием для искл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ючения указанных земельных долей из списка невостребованных земельных долей (ч. 6 ст. 12.1 Федерального закона № 101-ФЗ).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адрес админстрации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Шереметьевского сельского поселения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поступило 3 обращения об исключении из списка земельных долей, которые могут быт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невостребованными, ввиду оформления земельных долей на праве собственности. Данные земельные участки необходимо исключить.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третьему вопросу повестки дня: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Фролов К.Б.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даты утверждения списка невостребованных земельных долей общим собранием участников долевой собственности бывшего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СПК «Камские Зори»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земельные доли, сведения о которых включены в указанный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список, признаются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невостребованными.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случае,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долях, администрация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Шереметьевского сельского поселения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утверждает такой список самостоятельно (ч. 7 ст. 12.1 Федерального закона № 101-ФЗ).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1 января 2025 года лицо, чья земельная доля признана невостребованной, утрачивает право собственности на такую земельную долю, а Муниципальное образование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Шереметьевского сельского поселения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приобретает на указанну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 земельную долю право муниципальной собственности (ч. 2 ст. 19.3 Федерального закона № 101-ФЗ).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jc w:val="center"/>
        <w:rPr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Решение: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Повторное общее собрание участников долевой собственности (пайщиков) земельных участков из числа бывшего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СПК «Камские Зори»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расположенных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Шереметьевского сельского поселения Нижнекамского 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назначенное на 10 часов 00 минут 12 января 2026 года, в связи с неправомочностью из-за отсутствия необходимого количества (кворума) участников долевой собственности признать несостоявшимся.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Вне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изменения в Приложение № 1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Главы Шереметьевского сельского поселения Нижнекамского района Республики Татарстан от 18.11.2025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№ 14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исключив из списка земельных долей (паев), которые могут быть признаны невостребованными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Шереметьевского сельского поселения Нижнекамского 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земельные участки по заявлениям собственников (Приложение №1 к проколу).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Данный Протокол разместить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официальном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сайте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района Республики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«https://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https://sheremetevskoe-sp.ru/» и на информационн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ых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стенд</w:t>
      </w:r>
      <w:r>
        <w:rPr>
          <w:rFonts w:ascii="Times New Roman" w:hAnsi="Times New Roman" w:eastAsia="Calibri" w:cs="Times New Roman"/>
          <w:sz w:val="28"/>
          <w:szCs w:val="28"/>
        </w:rPr>
        <w:t xml:space="preserve">ах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поселения, расположенн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ых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 адрес</w:t>
      </w:r>
      <w:r>
        <w:rPr>
          <w:rFonts w:ascii="Times New Roman" w:hAnsi="Times New Roman" w:eastAsia="Calibri" w:cs="Times New Roman"/>
          <w:sz w:val="28"/>
          <w:szCs w:val="28"/>
        </w:rPr>
        <w:t xml:space="preserve">ам</w:t>
      </w:r>
      <w:r>
        <w:rPr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с.Оша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ул.Центральная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д.1,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п.Первомайский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ул.Центральная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д.1,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п.Самоновка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ул.Строителей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д.1,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п.Поповка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ул.Солнечная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д.48А,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с.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Октябрьская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площадь</w:t>
      </w:r>
      <w: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(возле магазина Пятерочка)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д.Нариман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</w:t>
      </w:r>
      <w:r>
        <w:rPr>
          <w:rFonts w:ascii="Times New Roman" w:hAnsi="Times New Roman" w:eastAsia="Calibri" w:cs="Times New Roman"/>
          <w:sz w:val="28"/>
          <w:szCs w:val="28"/>
        </w:rPr>
        <w:t xml:space="preserve">Центральная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д.56Б,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Нижнекамский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район,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п.Камский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ул.</w:t>
      </w:r>
      <w:r>
        <w:rPr>
          <w:rFonts w:ascii="Times New Roman" w:hAnsi="Times New Roman" w:eastAsia="Calibri" w:cs="Times New Roman"/>
          <w:sz w:val="28"/>
          <w:szCs w:val="28"/>
        </w:rPr>
        <w:t xml:space="preserve">Московская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д.1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Председатель:                                       К.Б. Фролов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Секретарь: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               Р.И. Насибуллина</w:t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567"/>
        <w:jc w:val="right"/>
        <w:keepLines/>
        <w:spacing w:before="0" w:after="200" w:line="120" w:lineRule="auto"/>
        <w:rPr>
          <w:rFonts w:ascii="Times New Roman" w:hAnsi="Times New Roman" w:eastAsia="Times New Roman" w:cs="Times New Roman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contextualSpacing w:val="0"/>
        <w:ind w:left="0" w:right="0" w:firstLine="567"/>
        <w:jc w:val="right"/>
        <w:keepLines/>
        <w:spacing w:before="0" w:after="200" w:line="120" w:lineRule="auto"/>
        <w:rPr>
          <w:rFonts w:ascii="Times New Roman" w:hAnsi="Times New Roman" w:eastAsia="Times New Roman" w:cs="Times New Roman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highlight w:val="none"/>
        </w:rPr>
      </w:r>
      <w:r>
        <w:rPr>
          <w:rFonts w:ascii="Times New Roman" w:hAnsi="Times New Roman" w:eastAsia="Times New Roman" w:cs="Times New Roman"/>
          <w:highlight w:val="none"/>
        </w:rPr>
      </w:r>
    </w:p>
    <w:p>
      <w:pPr>
        <w:contextualSpacing w:val="0"/>
        <w:ind w:left="0" w:right="0" w:firstLine="567"/>
        <w:jc w:val="right"/>
        <w:keepLines/>
        <w:spacing w:before="0" w:after="200" w:line="120" w:lineRule="auto"/>
        <w:rPr>
          <w:rFonts w:ascii="Times New Roman" w:hAnsi="Times New Roman" w:eastAsia="Times New Roman" w:cs="Times New Roman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</w:rPr>
        <w:t xml:space="preserve">Приложение № 1 к Протоколу общего собрания 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</w:p>
    <w:p>
      <w:pPr>
        <w:contextualSpacing w:val="0"/>
        <w:ind w:left="0" w:right="0" w:firstLine="567"/>
        <w:jc w:val="right"/>
        <w:keepLines/>
        <w:spacing w:before="0" w:after="200" w:line="120" w:lineRule="auto"/>
        <w:rPr>
          <w:rFonts w:ascii="Times New Roman" w:hAnsi="Times New Roman" w:eastAsia="Times New Roman" w:cs="Times New Roman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у</w:t>
      </w:r>
      <w:r>
        <w:rPr>
          <w:rFonts w:ascii="Times New Roman" w:hAnsi="Times New Roman" w:eastAsia="Times New Roman" w:cs="Times New Roman"/>
        </w:rPr>
        <w:t xml:space="preserve">частников долевой собственности (пайщиков)</w:t>
      </w:r>
      <w:r>
        <w:rPr>
          <w:rFonts w:ascii="Times New Roman" w:hAnsi="Times New Roman" w:eastAsia="Times New Roman" w:cs="Times New Roman"/>
          <w:highlight w:val="none"/>
          <w14:ligatures w14:val="none"/>
        </w:rPr>
      </w:r>
      <w:r/>
    </w:p>
    <w:p>
      <w:pPr>
        <w:contextualSpacing w:val="0"/>
        <w:ind w:left="0" w:right="0" w:firstLine="567"/>
        <w:jc w:val="right"/>
        <w:keepLines/>
        <w:spacing w:before="0" w:after="200" w:line="120" w:lineRule="auto"/>
        <w:rPr>
          <w:rFonts w:ascii="Times New Roman" w:hAnsi="Times New Roman" w:eastAsia="Times New Roman" w:cs="Times New Roman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земельных долей бывшего СПК «Камские Зори», 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eastAsia="Times New Roman" w:cs="Times New Roman"/>
          <w14:ligatures w14:val="none"/>
        </w:rPr>
      </w:r>
    </w:p>
    <w:p>
      <w:pPr>
        <w:contextualSpacing w:val="0"/>
        <w:ind w:left="0" w:right="0" w:firstLine="567"/>
        <w:jc w:val="right"/>
        <w:keepLines/>
        <w:spacing w:before="0" w:after="200" w:line="120" w:lineRule="auto"/>
        <w:rPr>
          <w:rFonts w:ascii="Times New Roman" w:hAnsi="Times New Roman" w:eastAsia="Times New Roman" w:cs="Times New Roman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расположенных на территории </w:t>
      </w:r>
      <w:r>
        <w:rPr>
          <w:rFonts w:ascii="Times New Roman" w:hAnsi="Times New Roman" w:eastAsia="Times New Roman" w:cs="Times New Roman"/>
        </w:rPr>
        <w:t xml:space="preserve">Шереметьевского сельского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eastAsia="Times New Roman" w:cs="Times New Roman"/>
          <w14:ligatures w14:val="none"/>
        </w:rPr>
      </w:r>
    </w:p>
    <w:p>
      <w:pPr>
        <w:contextualSpacing w:val="0"/>
        <w:ind w:left="0" w:right="0" w:firstLine="567"/>
        <w:jc w:val="right"/>
        <w:keepLines/>
        <w:spacing w:before="0" w:after="200" w:line="120" w:lineRule="auto"/>
        <w:rPr>
          <w:rFonts w:ascii="Times New Roman" w:hAnsi="Times New Roman" w:eastAsia="Times New Roman" w:cs="Times New Roman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 поселения Нижнекамского муниципального района </w:t>
      </w:r>
      <w:r>
        <w:rPr>
          <w:rFonts w:ascii="Times New Roman" w:hAnsi="Times New Roman" w:cs="Times New Roman"/>
          <w14:ligatures w14:val="none"/>
        </w:rPr>
      </w:r>
      <w:r>
        <w:rPr>
          <w:rFonts w:ascii="Times New Roman" w:hAnsi="Times New Roman" w:eastAsia="Times New Roman" w:cs="Times New Roman"/>
          <w14:ligatures w14:val="none"/>
        </w:rPr>
      </w:r>
    </w:p>
    <w:p>
      <w:pPr>
        <w:contextualSpacing w:val="0"/>
        <w:ind w:left="0" w:right="0" w:firstLine="567"/>
        <w:jc w:val="right"/>
        <w:keepLines/>
        <w:spacing w:before="0" w:after="200" w:line="120" w:lineRule="auto"/>
        <w:rPr>
          <w:rFonts w:ascii="Times New Roman" w:hAnsi="Times New Roman" w:cs="Times New Roman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</w:rPr>
        <w:t xml:space="preserve">Республики Татарстан</w:t>
      </w:r>
      <w:r>
        <w:rPr>
          <w:rFonts w:ascii="Times New Roman" w:hAnsi="Times New Roman" w:eastAsia="Times New Roman" w:cs="Times New Roman"/>
        </w:rPr>
        <w:t xml:space="preserve"> от 12.01.2026г</w:t>
      </w:r>
      <w:r>
        <w:rPr>
          <w:rFonts w:ascii="Times New Roman" w:hAnsi="Times New Roman" w:eastAsia="Times New Roman" w:cs="Times New Roman"/>
        </w:rPr>
        <w:t xml:space="preserve">. </w:t>
      </w:r>
      <w:r>
        <w:rPr>
          <w:rFonts w:ascii="Times New Roman" w:hAnsi="Times New Roman" w:cs="Times New Roman"/>
          <w14:ligatures w14:val="none"/>
        </w:rPr>
      </w:r>
    </w:p>
    <w:p>
      <w:pPr>
        <w:ind w:left="0" w:right="0" w:firstLine="567"/>
        <w:jc w:val="center"/>
        <w:rPr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Земельные доли,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подлежащие исключению из списка земельных долей (паев), которые могут быть признаны невостребованными на территории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Шереметьевского сельского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поселения Нижнекамского муниципального района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highlight w:val="none"/>
        </w:rPr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949"/>
        <w:gridCol w:w="5281"/>
        <w:gridCol w:w="1087"/>
        <w:gridCol w:w="2404"/>
      </w:tblGrid>
      <w:tr>
        <w:tblPrEx/>
        <w:trPr>
          <w:trHeight w:val="24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№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ФИО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площадь пая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Оформленные паи в Росреестре согласно выписке из ЕГРП  </w:t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</w:r>
            <w:r>
              <w:rPr>
                <w:rFonts w:ascii="Calibri" w:hAnsi="Calibri" w:eastAsia="Times New Roman" w:cs="Calibri"/>
                <w:b/>
                <w:bCs/>
                <w:color w:val="000000"/>
              </w:rPr>
            </w:r>
          </w:p>
        </w:tc>
      </w:tr>
    </w:tbl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960"/>
        <w:gridCol w:w="5276"/>
        <w:gridCol w:w="1064"/>
        <w:gridCol w:w="2420"/>
      </w:tblGrid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1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Виноградова Варвара Ивановна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5,98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нет данных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2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Кожевников Виктор Федорович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5,98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нет данных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3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Павлов Егор Павлович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6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5,98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 xml:space="preserve">нет данных</w:t>
            </w:r>
            <w:r>
              <w:rPr>
                <w:rFonts w:ascii="Calibri" w:hAnsi="Calibri" w:eastAsia="Times New Roman" w:cs="Calibri"/>
                <w:color w:val="000000"/>
              </w:rPr>
            </w:r>
            <w:r>
              <w:rPr>
                <w:rFonts w:ascii="Calibri" w:hAnsi="Calibri" w:eastAsia="Times New Roman" w:cs="Calibri"/>
                <w:color w:val="000000"/>
              </w:rPr>
            </w:r>
          </w:p>
        </w:tc>
      </w:tr>
    </w:tbl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567"/>
        <w:jc w:val="center"/>
        <w:rPr>
          <w:b/>
          <w:bCs/>
        </w:rPr>
      </w:pPr>
      <w:r>
        <w:rPr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Лист регистрации присутствующих на общем собрании участников долевой собственности (пайщиков) 12.01.2026г.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b/>
          <w:bCs/>
        </w:rPr>
      </w:r>
    </w:p>
    <w:tbl>
      <w:tblPr>
        <w:tblStyle w:val="688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3260"/>
        <w:gridCol w:w="2835"/>
        <w:gridCol w:w="2127"/>
      </w:tblGrid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ФИО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ind w:left="0" w:right="0" w:firstLine="567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b/>
          <w:bCs/>
        </w:rPr>
        <w:t xml:space="preserve"> </w:t>
      </w:r>
      <w:r>
        <w:rPr>
          <w:b/>
          <w:bCs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2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</cp:revision>
  <dcterms:modified xsi:type="dcterms:W3CDTF">2026-01-21T07:42:47Z</dcterms:modified>
</cp:coreProperties>
</file>